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CB" w:rsidRDefault="000D59CB" w:rsidP="000D59CB">
      <w:pPr>
        <w:pStyle w:val="Normalnaslov"/>
        <w:tabs>
          <w:tab w:val="left" w:pos="228"/>
        </w:tabs>
        <w:spacing w:before="0" w:after="0" w:line="227" w:lineRule="atLeast"/>
        <w:ind w:firstLine="720"/>
        <w:jc w:val="both"/>
        <w:rPr>
          <w:rFonts w:ascii="Tahoma" w:hAnsi="Tahoma" w:cs="Tahoma"/>
          <w:b w:val="0"/>
          <w:sz w:val="22"/>
          <w:szCs w:val="22"/>
          <w:lang w:val="sr-Cyrl-CS"/>
        </w:rPr>
      </w:pPr>
      <w:r>
        <w:rPr>
          <w:rFonts w:ascii="Tahoma" w:eastAsia="Arial" w:hAnsi="Tahoma" w:cs="Tahoma"/>
          <w:b w:val="0"/>
          <w:sz w:val="22"/>
          <w:szCs w:val="22"/>
          <w:lang w:val="sr-Cyrl-CS"/>
        </w:rPr>
        <w:t xml:space="preserve">Скупштина града Врања на седници одржаној </w:t>
      </w:r>
      <w:r>
        <w:rPr>
          <w:rFonts w:ascii="Tahoma" w:eastAsia="Arial" w:hAnsi="Tahoma" w:cs="Tahoma"/>
          <w:b w:val="0"/>
          <w:sz w:val="22"/>
          <w:szCs w:val="22"/>
          <w:lang/>
        </w:rPr>
        <w:t>13.09.2016</w:t>
      </w:r>
      <w:r>
        <w:rPr>
          <w:rFonts w:ascii="Tahoma" w:eastAsia="Arial" w:hAnsi="Tahoma" w:cs="Tahoma"/>
          <w:b w:val="0"/>
          <w:sz w:val="22"/>
          <w:szCs w:val="22"/>
          <w:lang w:val="sr-Cyrl-CS"/>
        </w:rPr>
        <w:t>.године, на основу члана 35. став 7. Закона о планирању и изградњи (</w:t>
      </w:r>
      <w:r>
        <w:rPr>
          <w:rFonts w:ascii="Tahoma" w:hAnsi="Tahoma" w:cs="Tahoma"/>
          <w:b w:val="0"/>
          <w:sz w:val="22"/>
          <w:szCs w:val="22"/>
          <w:lang w:val="sr-Cyrl-CS"/>
        </w:rPr>
        <w:t xml:space="preserve">''Службени гласник Републике Србије'', број </w:t>
      </w:r>
      <w:r>
        <w:rPr>
          <w:rFonts w:ascii="Tahoma" w:eastAsia="Tahoma" w:hAnsi="Tahoma" w:cs="Tahoma"/>
          <w:b w:val="0"/>
          <w:sz w:val="22"/>
          <w:szCs w:val="22"/>
          <w:lang w:val="sr-Cyrl-CS"/>
        </w:rPr>
        <w:t>72/09, 81/09, 64/10 – Одлука УС, 24/11, 121/12, 42/13 – Одлука УС, 50/13 – Одлука УС, 98/13 – Одлука УС и 132/2014, 145/14</w:t>
      </w:r>
      <w:r>
        <w:rPr>
          <w:rFonts w:ascii="Tahoma" w:hAnsi="Tahoma" w:cs="Tahoma"/>
          <w:b w:val="0"/>
          <w:sz w:val="22"/>
          <w:szCs w:val="22"/>
          <w:lang w:val="sr-Cyrl-CS"/>
        </w:rPr>
        <w:t>) и члана 32. Статута града Врања („Службени гласник града Врања“, број 18/15-пречишћен текст донела је</w:t>
      </w:r>
    </w:p>
    <w:p w:rsidR="000D59CB" w:rsidRDefault="000D59CB" w:rsidP="000D59CB">
      <w:pPr>
        <w:ind w:firstLine="720"/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jc w:val="center"/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ОДЛУКУ</w:t>
      </w: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О </w:t>
      </w:r>
      <w:r>
        <w:rPr>
          <w:rFonts w:ascii="Tahoma" w:hAnsi="Tahoma" w:cs="Tahoma"/>
          <w:b/>
          <w:sz w:val="22"/>
          <w:szCs w:val="22"/>
          <w:lang/>
        </w:rPr>
        <w:t xml:space="preserve">УСВАЈАЊУ 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ПЛАНА ДЕТАЉНЕ РЕГУЛАЦИЈЕ </w:t>
      </w:r>
    </w:p>
    <w:p w:rsidR="000D59CB" w:rsidRDefault="000D59CB" w:rsidP="000D59CB">
      <w:pPr>
        <w:jc w:val="center"/>
        <w:rPr>
          <w:rFonts w:ascii="Tahoma" w:hAnsi="Tahoma" w:cs="Tahoma"/>
          <w:b/>
          <w:bCs/>
          <w:sz w:val="22"/>
          <w:szCs w:val="22"/>
          <w:lang w:val="sr-Cyrl-CS"/>
        </w:rPr>
      </w:pPr>
      <w:r>
        <w:rPr>
          <w:rFonts w:ascii="Tahoma" w:hAnsi="Tahoma" w:cs="Tahoma"/>
          <w:b/>
          <w:bCs/>
          <w:sz w:val="22"/>
          <w:szCs w:val="22"/>
          <w:lang w:val="sr-Cyrl-CS"/>
        </w:rPr>
        <w:t xml:space="preserve">ИЗМЕЂУ УЛИЦА РАДНИХ БРИГАДА, </w:t>
      </w: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/>
        </w:rPr>
      </w:pPr>
      <w:r>
        <w:rPr>
          <w:rFonts w:ascii="Tahoma" w:hAnsi="Tahoma" w:cs="Tahoma"/>
          <w:b/>
          <w:bCs/>
          <w:sz w:val="22"/>
          <w:szCs w:val="22"/>
          <w:lang w:val="sr-Cyrl-CS"/>
        </w:rPr>
        <w:t>РУДАРСКА И БУДИСАВА ШОШКИЋА, У ВРАЊУ</w:t>
      </w:r>
      <w:r>
        <w:rPr>
          <w:rFonts w:ascii="Tahoma" w:hAnsi="Tahoma" w:cs="Tahoma"/>
          <w:b/>
          <w:sz w:val="22"/>
          <w:szCs w:val="22"/>
          <w:lang/>
        </w:rPr>
        <w:t xml:space="preserve">      </w:t>
      </w: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</w:p>
    <w:p w:rsidR="000D59CB" w:rsidRDefault="000D59CB" w:rsidP="000D59CB">
      <w:pPr>
        <w:jc w:val="center"/>
        <w:rPr>
          <w:rFonts w:ascii="Tahoma" w:hAnsi="Tahoma" w:cs="Tahoma"/>
          <w:sz w:val="22"/>
          <w:szCs w:val="22"/>
          <w:lang/>
        </w:rPr>
      </w:pPr>
    </w:p>
    <w:p w:rsidR="000D59CB" w:rsidRDefault="000D59CB" w:rsidP="000D59CB">
      <w:pPr>
        <w:tabs>
          <w:tab w:val="left" w:pos="1152"/>
        </w:tabs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1.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</w:rPr>
        <w:t xml:space="preserve">Усваја се </w:t>
      </w:r>
      <w:r>
        <w:rPr>
          <w:rFonts w:ascii="Tahoma" w:hAnsi="Tahoma" w:cs="Tahoma"/>
          <w:sz w:val="22"/>
          <w:szCs w:val="22"/>
          <w:lang w:val="sr-Cyrl-CS"/>
        </w:rPr>
        <w:t xml:space="preserve">План </w:t>
      </w:r>
      <w:r>
        <w:rPr>
          <w:rFonts w:ascii="Tahoma" w:hAnsi="Tahoma" w:cs="Tahoma"/>
          <w:sz w:val="22"/>
          <w:szCs w:val="22"/>
          <w:lang/>
        </w:rPr>
        <w:t xml:space="preserve">детаљне </w:t>
      </w:r>
      <w:r>
        <w:rPr>
          <w:rFonts w:ascii="Tahoma" w:hAnsi="Tahoma" w:cs="Tahoma"/>
          <w:sz w:val="22"/>
          <w:szCs w:val="22"/>
          <w:lang w:val="sr-Cyrl-CS"/>
        </w:rPr>
        <w:t xml:space="preserve">регулације између Улица радних бригада, рударска и Будисава Шошкића, у Врању </w:t>
      </w:r>
      <w:r>
        <w:rPr>
          <w:rFonts w:ascii="Tahoma" w:hAnsi="Tahoma" w:cs="Tahoma"/>
          <w:sz w:val="22"/>
          <w:szCs w:val="22"/>
          <w:lang/>
        </w:rPr>
        <w:t xml:space="preserve">(у даљем тексту План детаљне регулације), који је у прилогу ове одлуке и чини њен саставни део. Саставни део одлуке је и Извештај о обављеном јавном увиду у нацрт Плана детаљне регулације </w:t>
      </w:r>
      <w:r>
        <w:rPr>
          <w:rFonts w:ascii="Tahoma" w:hAnsi="Tahoma" w:cs="Tahoma"/>
          <w:sz w:val="22"/>
          <w:szCs w:val="22"/>
          <w:lang w:val="sr-Cyrl-CS"/>
        </w:rPr>
        <w:t>између Улица радних бригада, рударска и Будисава Шошкића, у Врању.</w:t>
      </w: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 w:val="ru-RU"/>
        </w:rPr>
      </w:pPr>
      <w:r>
        <w:rPr>
          <w:rFonts w:ascii="Tahoma" w:hAnsi="Tahoma" w:cs="Tahoma"/>
          <w:b/>
          <w:sz w:val="22"/>
          <w:szCs w:val="22"/>
          <w:lang w:val="ru-RU"/>
        </w:rPr>
        <w:t>Члан 2.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ru-RU"/>
        </w:rPr>
      </w:pPr>
      <w:r>
        <w:rPr>
          <w:rFonts w:ascii="Tahoma" w:hAnsi="Tahoma" w:cs="Tahoma"/>
          <w:sz w:val="22"/>
          <w:szCs w:val="22"/>
          <w:lang w:val="ru-RU"/>
        </w:rPr>
        <w:tab/>
        <w:t>План</w:t>
      </w:r>
      <w:r>
        <w:rPr>
          <w:rFonts w:ascii="Tahoma" w:hAnsi="Tahoma" w:cs="Tahoma"/>
          <w:sz w:val="22"/>
          <w:szCs w:val="22"/>
          <w:lang/>
        </w:rPr>
        <w:t xml:space="preserve">ом детаљне регулације одређује се дугорочна пројекција развоја и просторног решења </w:t>
      </w:r>
      <w:r>
        <w:rPr>
          <w:rFonts w:ascii="Tahoma" w:hAnsi="Tahoma" w:cs="Tahoma"/>
          <w:sz w:val="22"/>
          <w:szCs w:val="22"/>
          <w:lang w:val="ru-RU"/>
        </w:rPr>
        <w:t xml:space="preserve"> </w:t>
      </w:r>
      <w:r>
        <w:rPr>
          <w:rFonts w:ascii="Tahoma" w:hAnsi="Tahoma" w:cs="Tahoma"/>
          <w:sz w:val="22"/>
          <w:szCs w:val="22"/>
          <w:lang/>
        </w:rPr>
        <w:t>подручја у обухвату Плана детаљне регулације, као и правила регулације, уређења и грађења</w:t>
      </w:r>
      <w:r>
        <w:rPr>
          <w:rFonts w:ascii="Tahoma" w:hAnsi="Tahoma" w:cs="Tahoma"/>
          <w:sz w:val="22"/>
          <w:szCs w:val="22"/>
          <w:lang w:val="ru-RU"/>
        </w:rPr>
        <w:t>.</w:t>
      </w:r>
    </w:p>
    <w:p w:rsidR="000D59CB" w:rsidRDefault="000D59CB" w:rsidP="000D59CB">
      <w:pPr>
        <w:tabs>
          <w:tab w:val="left" w:pos="0"/>
        </w:tabs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3.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ru-RU"/>
        </w:rPr>
      </w:pPr>
      <w:r>
        <w:rPr>
          <w:rFonts w:ascii="Tahoma" w:hAnsi="Tahoma" w:cs="Tahoma"/>
          <w:sz w:val="22"/>
          <w:szCs w:val="22"/>
          <w:lang w:val="ru-RU"/>
        </w:rPr>
        <w:tab/>
        <w:t xml:space="preserve">План детаљне регулације </w:t>
      </w:r>
      <w:r>
        <w:rPr>
          <w:rFonts w:ascii="Tahoma" w:hAnsi="Tahoma" w:cs="Tahoma"/>
          <w:sz w:val="22"/>
          <w:szCs w:val="22"/>
          <w:lang w:val="sr-Cyrl-CS"/>
        </w:rPr>
        <w:t xml:space="preserve">садржи </w:t>
      </w:r>
      <w:r>
        <w:rPr>
          <w:rFonts w:ascii="Tahoma" w:hAnsi="Tahoma" w:cs="Tahoma"/>
          <w:sz w:val="22"/>
          <w:szCs w:val="22"/>
          <w:lang/>
        </w:rPr>
        <w:t>текстуалн</w:t>
      </w:r>
      <w:r>
        <w:rPr>
          <w:rFonts w:ascii="Tahoma" w:hAnsi="Tahoma" w:cs="Tahoma"/>
          <w:sz w:val="22"/>
          <w:szCs w:val="22"/>
          <w:lang w:val="sr-Cyrl-CS"/>
        </w:rPr>
        <w:t>и</w:t>
      </w:r>
      <w:r>
        <w:rPr>
          <w:rFonts w:ascii="Tahoma" w:hAnsi="Tahoma" w:cs="Tahoma"/>
          <w:sz w:val="22"/>
          <w:szCs w:val="22"/>
          <w:lang/>
        </w:rPr>
        <w:t xml:space="preserve"> и графичк</w:t>
      </w:r>
      <w:r>
        <w:rPr>
          <w:rFonts w:ascii="Tahoma" w:hAnsi="Tahoma" w:cs="Tahoma"/>
          <w:sz w:val="22"/>
          <w:szCs w:val="22"/>
          <w:lang w:val="sr-Cyrl-CS"/>
        </w:rPr>
        <w:t>и</w:t>
      </w:r>
      <w:r>
        <w:rPr>
          <w:rFonts w:ascii="Tahoma" w:hAnsi="Tahoma" w:cs="Tahoma"/>
          <w:sz w:val="22"/>
          <w:szCs w:val="22"/>
          <w:lang/>
        </w:rPr>
        <w:t xml:space="preserve"> де</w:t>
      </w:r>
      <w:r>
        <w:rPr>
          <w:rFonts w:ascii="Tahoma" w:hAnsi="Tahoma" w:cs="Tahoma"/>
          <w:sz w:val="22"/>
          <w:szCs w:val="22"/>
          <w:lang w:val="sr-Cyrl-CS"/>
        </w:rPr>
        <w:t>о</w:t>
      </w:r>
      <w:r>
        <w:rPr>
          <w:rFonts w:ascii="Tahoma" w:hAnsi="Tahoma" w:cs="Tahoma"/>
          <w:sz w:val="22"/>
          <w:szCs w:val="22"/>
          <w:lang w:val="ru-RU"/>
        </w:rPr>
        <w:t>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/>
        </w:rPr>
        <w:t xml:space="preserve">Текстуални део плана </w:t>
      </w:r>
      <w:r>
        <w:rPr>
          <w:rFonts w:ascii="Tahoma" w:hAnsi="Tahoma" w:cs="Tahoma"/>
          <w:sz w:val="22"/>
          <w:szCs w:val="22"/>
          <w:lang w:val="sr-Cyrl-CS"/>
        </w:rPr>
        <w:t>садржи Општи део и Плански део (Правила уређења и Правила грађења ).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/>
        </w:rPr>
      </w:pP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/>
        </w:rPr>
      </w:pPr>
      <w:r>
        <w:rPr>
          <w:rFonts w:ascii="Tahoma" w:hAnsi="Tahoma" w:cs="Tahoma"/>
          <w:sz w:val="22"/>
          <w:szCs w:val="22"/>
          <w:lang/>
        </w:rPr>
        <w:t xml:space="preserve">Графички део плана садржи </w:t>
      </w:r>
      <w:r>
        <w:rPr>
          <w:rFonts w:ascii="Tahoma" w:hAnsi="Tahoma" w:cs="Tahoma"/>
          <w:sz w:val="22"/>
          <w:szCs w:val="22"/>
          <w:lang w:val="sr-Cyrl-CS"/>
        </w:rPr>
        <w:t>графичке прилоге постојећег стања и планских решења</w:t>
      </w:r>
      <w:r>
        <w:rPr>
          <w:rFonts w:ascii="Tahoma" w:hAnsi="Tahoma" w:cs="Tahoma"/>
          <w:sz w:val="22"/>
          <w:szCs w:val="22"/>
          <w:lang/>
        </w:rPr>
        <w:t>: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/>
        </w:rPr>
      </w:pP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1.</w:t>
      </w:r>
      <w:r>
        <w:rPr>
          <w:rFonts w:ascii="Tahoma" w:hAnsi="Tahoma" w:cs="Tahoma"/>
          <w:sz w:val="22"/>
          <w:szCs w:val="22"/>
          <w:lang w:val="sr-Cyrl-CS"/>
        </w:rPr>
        <w:tab/>
        <w:t>ГРАНИЦЕ ПЛАНА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2.</w:t>
      </w:r>
      <w:r>
        <w:rPr>
          <w:rFonts w:ascii="Tahoma" w:hAnsi="Tahoma" w:cs="Tahoma"/>
          <w:sz w:val="22"/>
          <w:szCs w:val="22"/>
          <w:lang w:val="sr-Cyrl-CS"/>
        </w:rPr>
        <w:tab/>
        <w:t>ПОСТОЈЕЋА НАМЕНА ПОВРШИНА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3.</w:t>
      </w:r>
      <w:r>
        <w:rPr>
          <w:rFonts w:ascii="Tahoma" w:hAnsi="Tahoma" w:cs="Tahoma"/>
          <w:sz w:val="22"/>
          <w:szCs w:val="22"/>
          <w:lang w:val="sr-Cyrl-CS"/>
        </w:rPr>
        <w:tab/>
        <w:t>ПЛАНИРАНА НАМЕНА ПОВРШИНА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4.</w:t>
      </w:r>
      <w:r>
        <w:rPr>
          <w:rFonts w:ascii="Tahoma" w:hAnsi="Tahoma" w:cs="Tahoma"/>
          <w:sz w:val="22"/>
          <w:szCs w:val="22"/>
          <w:lang w:val="sr-Cyrl-CS"/>
        </w:rPr>
        <w:tab/>
        <w:t>РЕГУЛАЦИОНО-НИВЕЛАЦИОНИ ПЛАН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ЗА ГРАЂЕЊЕ ОБЈЕКАТА И САОБРАЋАЈНИХ ПОВРШИНА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СА АНАЛИТИЧКО-ГЕОДЕТСКИМ ЕЛЕМЕНТИМА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ЗА ОБЕЛЕЖАВАЊЕ И ПОПРЕЧНИМ ПРОФИЛИМА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5.</w:t>
      </w:r>
      <w:r>
        <w:rPr>
          <w:rFonts w:ascii="Tahoma" w:hAnsi="Tahoma" w:cs="Tahoma"/>
          <w:sz w:val="22"/>
          <w:szCs w:val="22"/>
          <w:lang w:val="sr-Cyrl-CS"/>
        </w:rPr>
        <w:tab/>
        <w:t>ВОДОВОДНА И КАНАЛИЗАЦИОНА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МРЕЖА И ОБЈЕКТИ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6.</w:t>
      </w:r>
      <w:r>
        <w:rPr>
          <w:rFonts w:ascii="Tahoma" w:hAnsi="Tahoma" w:cs="Tahoma"/>
          <w:sz w:val="22"/>
          <w:szCs w:val="22"/>
          <w:lang w:val="sr-Cyrl-CS"/>
        </w:rPr>
        <w:tab/>
        <w:t>ЕЛЕКТРОЕНЕРГЕТСКА И ТЕЛЕКОМУНИКАЦИОНА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МРЕЖА И ОБЈЕКТИ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7.</w:t>
      </w:r>
      <w:r>
        <w:rPr>
          <w:rFonts w:ascii="Tahoma" w:hAnsi="Tahoma" w:cs="Tahoma"/>
          <w:sz w:val="22"/>
          <w:szCs w:val="22"/>
          <w:lang w:val="sr-Cyrl-CS"/>
        </w:rPr>
        <w:tab/>
        <w:t>ПЛАН МРЕЖЕ И ОБЈЕКАТА ИНФРАСТРУКТУРЕ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(СИНХРОН ПЛАН)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>8.</w:t>
      </w:r>
      <w:r>
        <w:rPr>
          <w:rFonts w:ascii="Tahoma" w:hAnsi="Tahoma" w:cs="Tahoma"/>
          <w:sz w:val="22"/>
          <w:szCs w:val="22"/>
          <w:lang w:val="sr-Cyrl-CS"/>
        </w:rPr>
        <w:tab/>
        <w:t>ПЛАН ГРАЂЕВИНСКИХ ПАРЦЕЛА  ЗА ЈАВНЕ НАМЕНЕ</w:t>
      </w:r>
    </w:p>
    <w:p w:rsidR="000D59CB" w:rsidRDefault="000D59CB" w:rsidP="000D59CB">
      <w:pPr>
        <w:pStyle w:val="WW-Default12"/>
        <w:spacing w:line="200" w:lineRule="atLeast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СА СМЕРНИЦАМА ЗА СПРОВОЂЕЊЕ</w:t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</w:r>
      <w:r>
        <w:rPr>
          <w:rFonts w:ascii="Tahoma" w:hAnsi="Tahoma" w:cs="Tahoma"/>
          <w:sz w:val="22"/>
          <w:szCs w:val="22"/>
          <w:lang w:val="sr-Cyrl-CS"/>
        </w:rPr>
        <w:tab/>
        <w:t>Р 1:1000</w:t>
      </w:r>
    </w:p>
    <w:p w:rsidR="000D59CB" w:rsidRDefault="000D59CB" w:rsidP="000D59CB">
      <w:pPr>
        <w:ind w:left="360" w:firstLine="36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ind w:left="360" w:firstLine="36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autoSpaceDE w:val="0"/>
        <w:ind w:firstLine="720"/>
        <w:rPr>
          <w:rFonts w:ascii="Tahoma" w:hAnsi="Tahoma" w:cs="Tahoma"/>
          <w:b/>
          <w:sz w:val="22"/>
          <w:szCs w:val="22"/>
          <w:lang/>
        </w:rPr>
      </w:pPr>
    </w:p>
    <w:p w:rsidR="000D59CB" w:rsidRDefault="000D59CB" w:rsidP="000D59CB">
      <w:pPr>
        <w:tabs>
          <w:tab w:val="left" w:pos="1152"/>
        </w:tabs>
        <w:autoSpaceDE w:val="0"/>
        <w:jc w:val="center"/>
        <w:rPr>
          <w:rFonts w:ascii="Tahoma" w:hAnsi="Tahoma" w:cs="Tahoma"/>
          <w:b/>
          <w:sz w:val="22"/>
          <w:szCs w:val="22"/>
          <w:lang w:val="ru-RU"/>
        </w:rPr>
      </w:pPr>
      <w:r>
        <w:rPr>
          <w:rFonts w:ascii="Tahoma" w:hAnsi="Tahoma" w:cs="Tahoma"/>
          <w:b/>
          <w:sz w:val="22"/>
          <w:szCs w:val="22"/>
          <w:lang w:val="ru-RU"/>
        </w:rPr>
        <w:t>Члан 4.</w:t>
      </w:r>
    </w:p>
    <w:p w:rsidR="000D59CB" w:rsidRDefault="000D59CB" w:rsidP="000D59CB">
      <w:pPr>
        <w:tabs>
          <w:tab w:val="left" w:pos="720"/>
          <w:tab w:val="left" w:pos="8760"/>
        </w:tabs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ru-RU"/>
        </w:rPr>
        <w:tab/>
      </w:r>
      <w:r>
        <w:rPr>
          <w:rFonts w:ascii="Tahoma" w:hAnsi="Tahoma" w:cs="Tahoma"/>
          <w:sz w:val="22"/>
          <w:szCs w:val="22"/>
          <w:lang w:val="sr-Cyrl-CS"/>
        </w:rPr>
        <w:t>План детаљне регулације као урбанистички план остварује се урбанистичким пројектима и другим општим и посебним актима у складу са Законом.</w:t>
      </w:r>
    </w:p>
    <w:p w:rsidR="000D59CB" w:rsidRDefault="000D59CB" w:rsidP="000D59CB">
      <w:pPr>
        <w:tabs>
          <w:tab w:val="left" w:pos="720"/>
          <w:tab w:val="left" w:pos="8760"/>
        </w:tabs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tabs>
          <w:tab w:val="left" w:pos="1440"/>
          <w:tab w:val="left" w:pos="8760"/>
        </w:tabs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5.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>План</w:t>
      </w:r>
      <w:r>
        <w:rPr>
          <w:rFonts w:ascii="Tahoma" w:hAnsi="Tahoma" w:cs="Tahoma"/>
          <w:sz w:val="22"/>
          <w:szCs w:val="22"/>
          <w:lang/>
        </w:rPr>
        <w:t xml:space="preserve"> детаљне регулације са </w:t>
      </w:r>
      <w:r>
        <w:rPr>
          <w:rFonts w:ascii="Tahoma" w:hAnsi="Tahoma" w:cs="Tahoma"/>
          <w:sz w:val="22"/>
          <w:szCs w:val="22"/>
          <w:lang w:val="sr-Cyrl-CS"/>
        </w:rPr>
        <w:t>аналитичко-</w:t>
      </w:r>
      <w:r>
        <w:rPr>
          <w:rFonts w:ascii="Tahoma" w:hAnsi="Tahoma" w:cs="Tahoma"/>
          <w:sz w:val="22"/>
          <w:szCs w:val="22"/>
          <w:lang/>
        </w:rPr>
        <w:t>документационом основом чува се трајно у Градској управи града Врања</w:t>
      </w:r>
      <w:r>
        <w:rPr>
          <w:rFonts w:ascii="Tahoma" w:hAnsi="Tahoma" w:cs="Tahoma"/>
          <w:sz w:val="22"/>
          <w:szCs w:val="22"/>
          <w:lang w:val="sr-Cyrl-CS"/>
        </w:rPr>
        <w:t>.</w:t>
      </w: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6.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/>
        </w:rPr>
        <w:lastRenderedPageBreak/>
        <w:tab/>
        <w:t>План детаљне регулације мора бити доступан на увид јавности (правним и физичким лицима) у току важења плана у седишту доносиоца и путем интернет стране органа надлежног за доношења планског документа.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 w:val="ru-RU"/>
        </w:rPr>
      </w:pPr>
      <w:r>
        <w:rPr>
          <w:rFonts w:ascii="Tahoma" w:hAnsi="Tahoma" w:cs="Tahoma"/>
          <w:b/>
          <w:sz w:val="22"/>
          <w:szCs w:val="22"/>
          <w:lang w:val="ru-RU"/>
        </w:rPr>
        <w:t>Члан 7.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/>
        </w:rPr>
        <w:tab/>
        <w:t xml:space="preserve">Текстуални део плана детаљне регулације објавити у </w:t>
      </w:r>
      <w:r>
        <w:rPr>
          <w:rFonts w:ascii="Tahoma" w:hAnsi="Tahoma" w:cs="Tahoma"/>
          <w:sz w:val="22"/>
          <w:szCs w:val="22"/>
          <w:lang w:val="sr-Cyrl-CS"/>
        </w:rPr>
        <w:t xml:space="preserve">„Службеном гласнику </w:t>
      </w:r>
      <w:r>
        <w:rPr>
          <w:rFonts w:ascii="Tahoma" w:hAnsi="Tahoma" w:cs="Tahoma"/>
          <w:sz w:val="22"/>
          <w:szCs w:val="22"/>
          <w:lang/>
        </w:rPr>
        <w:t>г</w:t>
      </w:r>
      <w:r>
        <w:rPr>
          <w:rFonts w:ascii="Tahoma" w:hAnsi="Tahoma" w:cs="Tahoma"/>
          <w:sz w:val="22"/>
          <w:szCs w:val="22"/>
          <w:lang w:val="sr-Cyrl-CS"/>
        </w:rPr>
        <w:t>рада Врања“.</w:t>
      </w:r>
    </w:p>
    <w:p w:rsidR="000D59CB" w:rsidRDefault="000D59CB" w:rsidP="000D59CB">
      <w:pPr>
        <w:jc w:val="center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Члан 8.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en-US"/>
        </w:rPr>
      </w:pPr>
      <w:r>
        <w:rPr>
          <w:rFonts w:ascii="Tahoma" w:hAnsi="Tahoma" w:cs="Tahoma"/>
          <w:sz w:val="22"/>
          <w:szCs w:val="22"/>
          <w:lang w:val="sr-Cyrl-CS"/>
        </w:rPr>
        <w:tab/>
        <w:t xml:space="preserve">Одлука ступа на снагу осмог дана од дана објављивања у „Службеном гласнику </w:t>
      </w:r>
      <w:r>
        <w:rPr>
          <w:rFonts w:ascii="Tahoma" w:hAnsi="Tahoma" w:cs="Tahoma"/>
          <w:sz w:val="22"/>
          <w:szCs w:val="22"/>
          <w:lang/>
        </w:rPr>
        <w:t>г</w:t>
      </w:r>
      <w:r>
        <w:rPr>
          <w:rFonts w:ascii="Tahoma" w:hAnsi="Tahoma" w:cs="Tahoma"/>
          <w:sz w:val="22"/>
          <w:szCs w:val="22"/>
          <w:lang w:val="sr-Cyrl-CS"/>
        </w:rPr>
        <w:t>рада Врања“</w:t>
      </w:r>
      <w:r>
        <w:rPr>
          <w:rFonts w:ascii="Tahoma" w:hAnsi="Tahoma" w:cs="Tahoma"/>
          <w:sz w:val="22"/>
          <w:szCs w:val="22"/>
          <w:lang w:val="en-US"/>
        </w:rPr>
        <w:t>.</w:t>
      </w:r>
    </w:p>
    <w:p w:rsidR="000D59CB" w:rsidRDefault="000D59CB" w:rsidP="000D59CB">
      <w:pPr>
        <w:jc w:val="both"/>
        <w:rPr>
          <w:rFonts w:ascii="Tahoma" w:hAnsi="Tahoma" w:cs="Tahoma"/>
          <w:sz w:val="22"/>
          <w:szCs w:val="22"/>
          <w:lang w:val="en-US"/>
        </w:rPr>
      </w:pPr>
    </w:p>
    <w:p w:rsidR="000D59CB" w:rsidRDefault="000D59CB" w:rsidP="000D59CB">
      <w:pPr>
        <w:jc w:val="center"/>
        <w:rPr>
          <w:rFonts w:ascii="Tahoma" w:hAnsi="Tahoma" w:cs="Tahoma"/>
          <w:b/>
          <w:color w:val="FF0000"/>
          <w:sz w:val="22"/>
          <w:szCs w:val="22"/>
          <w:lang w:val="en-U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СКУПШТИНА ГРАДА ВРАЊА,</w:t>
      </w:r>
    </w:p>
    <w:p w:rsidR="000D59CB" w:rsidRDefault="000D59CB" w:rsidP="000D59CB">
      <w:pPr>
        <w:jc w:val="center"/>
        <w:rPr>
          <w:rFonts w:ascii="Tahoma" w:hAnsi="Tahoma" w:cs="Tahoma"/>
          <w:b/>
          <w:color w:val="000000"/>
          <w:sz w:val="22"/>
          <w:szCs w:val="22"/>
          <w:lang/>
        </w:rPr>
      </w:pPr>
      <w:r>
        <w:rPr>
          <w:rFonts w:ascii="Tahoma" w:hAnsi="Tahoma" w:cs="Tahoma"/>
          <w:b/>
          <w:sz w:val="22"/>
          <w:szCs w:val="22"/>
          <w:lang w:val="sr-Cyrl-CS"/>
        </w:rPr>
        <w:t>13.09</w:t>
      </w:r>
      <w:r>
        <w:rPr>
          <w:rFonts w:ascii="Tahoma" w:hAnsi="Tahoma" w:cs="Tahoma"/>
          <w:sz w:val="22"/>
          <w:szCs w:val="22"/>
          <w:lang w:val="sr-Cyrl-CS"/>
        </w:rPr>
        <w:t>.</w:t>
      </w:r>
      <w:r>
        <w:rPr>
          <w:rFonts w:ascii="Tahoma" w:hAnsi="Tahoma" w:cs="Tahoma"/>
          <w:b/>
          <w:sz w:val="22"/>
          <w:szCs w:val="22"/>
          <w:lang w:val="sr-Cyrl-CS"/>
        </w:rPr>
        <w:t>2016</w:t>
      </w:r>
      <w:r>
        <w:rPr>
          <w:rFonts w:ascii="Tahoma" w:hAnsi="Tahoma" w:cs="Tahoma"/>
          <w:b/>
          <w:sz w:val="22"/>
          <w:szCs w:val="22"/>
        </w:rPr>
        <w:t>.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године</w:t>
      </w:r>
      <w:r>
        <w:rPr>
          <w:rFonts w:ascii="Tahoma" w:hAnsi="Tahoma" w:cs="Tahoma"/>
          <w:b/>
          <w:sz w:val="22"/>
          <w:szCs w:val="22"/>
          <w:lang/>
        </w:rPr>
        <w:t>,</w:t>
      </w:r>
      <w:r>
        <w:rPr>
          <w:rFonts w:ascii="Tahoma" w:hAnsi="Tahoma" w:cs="Tahoma"/>
          <w:b/>
          <w:sz w:val="22"/>
          <w:szCs w:val="22"/>
          <w:lang w:val="sr-Cyrl-CS"/>
        </w:rPr>
        <w:t xml:space="preserve"> број</w:t>
      </w:r>
      <w:r>
        <w:rPr>
          <w:rFonts w:ascii="Tahoma" w:hAnsi="Tahoma" w:cs="Tahoma"/>
          <w:b/>
          <w:color w:val="000000"/>
          <w:sz w:val="22"/>
          <w:szCs w:val="22"/>
          <w:lang w:val="sr-Cyrl-CS"/>
        </w:rPr>
        <w:t>:35-15/2016-13.</w:t>
      </w:r>
    </w:p>
    <w:p w:rsidR="000D59CB" w:rsidRDefault="000D59CB" w:rsidP="000D59CB">
      <w:pPr>
        <w:jc w:val="center"/>
        <w:rPr>
          <w:rFonts w:ascii="Tahoma" w:hAnsi="Tahoma" w:cs="Tahoma"/>
          <w:color w:val="FF0000"/>
          <w:sz w:val="22"/>
          <w:szCs w:val="22"/>
          <w:lang w:val="sr-Cyrl-CS"/>
        </w:rPr>
      </w:pPr>
    </w:p>
    <w:p w:rsidR="000D59CB" w:rsidRDefault="000D59CB" w:rsidP="000D59CB">
      <w:pPr>
        <w:jc w:val="both"/>
        <w:rPr>
          <w:rFonts w:ascii="Tahoma" w:hAnsi="Tahoma" w:cs="Tahoma"/>
          <w:color w:val="FF0000"/>
          <w:sz w:val="22"/>
          <w:szCs w:val="22"/>
          <w:lang w:val="sr-Cyrl-CS"/>
        </w:rPr>
      </w:pPr>
    </w:p>
    <w:p w:rsidR="000D59CB" w:rsidRDefault="000D59CB" w:rsidP="000D59CB">
      <w:pPr>
        <w:jc w:val="both"/>
        <w:rPr>
          <w:rFonts w:ascii="Tahoma" w:hAnsi="Tahoma" w:cs="Tahoma"/>
          <w:color w:val="FF0000"/>
          <w:sz w:val="22"/>
          <w:szCs w:val="22"/>
          <w:lang w:val="sr-Cyrl-CS"/>
        </w:rPr>
      </w:pPr>
    </w:p>
    <w:p w:rsidR="000D59CB" w:rsidRDefault="000D59CB" w:rsidP="000D59CB">
      <w:pPr>
        <w:jc w:val="both"/>
        <w:rPr>
          <w:rFonts w:ascii="Tahoma" w:hAnsi="Tahoma" w:cs="Tahoma"/>
          <w:color w:val="FF0000"/>
          <w:sz w:val="22"/>
          <w:szCs w:val="22"/>
          <w:lang w:val="sr-Cyrl-CS"/>
        </w:rPr>
      </w:pPr>
    </w:p>
    <w:p w:rsidR="000D59CB" w:rsidRDefault="000D59CB" w:rsidP="000D59CB">
      <w:pPr>
        <w:jc w:val="both"/>
        <w:rPr>
          <w:rFonts w:ascii="Tahoma" w:hAnsi="Tahoma" w:cs="Tahoma"/>
          <w:color w:val="FF0000"/>
          <w:sz w:val="22"/>
          <w:szCs w:val="22"/>
          <w:lang w:val="sr-Cyrl-CS"/>
        </w:rPr>
      </w:pP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b/>
          <w:color w:val="FF0000"/>
          <w:sz w:val="22"/>
          <w:szCs w:val="22"/>
          <w:lang w:val="sr-Cyrl-CS"/>
        </w:rPr>
        <w:tab/>
      </w:r>
      <w:r>
        <w:rPr>
          <w:rFonts w:ascii="Tahoma" w:hAnsi="Tahoma" w:cs="Tahoma"/>
          <w:b/>
          <w:sz w:val="22"/>
          <w:szCs w:val="22"/>
          <w:lang w:val="sr-Cyrl-CS"/>
        </w:rPr>
        <w:t>ПРЕДСЕДНИК СКУПШТИНЕ</w:t>
      </w:r>
      <w:r>
        <w:rPr>
          <w:rFonts w:ascii="Tahoma" w:hAnsi="Tahoma" w:cs="Tahoma"/>
          <w:sz w:val="22"/>
          <w:szCs w:val="22"/>
          <w:lang w:val="sr-Cyrl-CS"/>
        </w:rPr>
        <w:tab/>
      </w: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</w:t>
      </w:r>
    </w:p>
    <w:p w:rsidR="000D59CB" w:rsidRDefault="000D59CB" w:rsidP="000D59CB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sz w:val="22"/>
          <w:szCs w:val="22"/>
          <w:lang w:val="sr-Cyrl-CS"/>
        </w:rPr>
        <w:t xml:space="preserve">                                                                </w:t>
      </w:r>
      <w:r>
        <w:rPr>
          <w:rFonts w:ascii="Tahoma" w:hAnsi="Tahoma" w:cs="Tahoma"/>
          <w:b/>
          <w:sz w:val="22"/>
          <w:szCs w:val="22"/>
          <w:lang w:val="sr-Cyrl-CS"/>
        </w:rPr>
        <w:t>Дејан Тричковић,спец.двм,с.р.</w:t>
      </w:r>
    </w:p>
    <w:p w:rsidR="000D59CB" w:rsidRDefault="000D59CB" w:rsidP="000D59CB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0D59CB" w:rsidRDefault="000D59CB" w:rsidP="000D59CB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</w:p>
    <w:p w:rsidR="000D59CB" w:rsidRDefault="000D59CB" w:rsidP="000D59CB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>ТАЧНОСТ ПРЕПИСА ОВЕРАВА:                                  СЕКРЕТАР СКУПШТИНЕ</w:t>
      </w:r>
    </w:p>
    <w:p w:rsidR="000D59CB" w:rsidRDefault="000D59CB" w:rsidP="000D59CB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>
        <w:rPr>
          <w:rFonts w:ascii="Tahoma" w:hAnsi="Tahoma" w:cs="Tahoma"/>
          <w:b/>
          <w:sz w:val="22"/>
          <w:szCs w:val="22"/>
          <w:lang w:val="sr-Cyrl-CS"/>
        </w:rPr>
        <w:t xml:space="preserve">                                                                                           Марко Тричковић</w:t>
      </w: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ind w:left="4320"/>
        <w:jc w:val="both"/>
        <w:rPr>
          <w:rFonts w:ascii="Tahoma" w:hAnsi="Tahoma" w:cs="Tahoma"/>
          <w:sz w:val="22"/>
          <w:szCs w:val="22"/>
        </w:rPr>
      </w:pPr>
    </w:p>
    <w:p w:rsidR="000D59CB" w:rsidRDefault="000D59CB" w:rsidP="000D59CB">
      <w:pPr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rPr>
          <w:rFonts w:ascii="Tahoma" w:hAnsi="Tahoma" w:cs="Tahoma"/>
          <w:sz w:val="22"/>
          <w:szCs w:val="22"/>
          <w:lang w:val="sr-Cyrl-CS"/>
        </w:rPr>
      </w:pPr>
    </w:p>
    <w:p w:rsidR="000D59CB" w:rsidRDefault="000D59CB" w:rsidP="000D59CB">
      <w:pPr>
        <w:rPr>
          <w:rFonts w:ascii="Tahoma" w:hAnsi="Tahoma" w:cs="Tahoma"/>
          <w:sz w:val="22"/>
          <w:szCs w:val="22"/>
          <w:lang w:val="sr-Cyrl-CS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ir Swiss">
    <w:altName w:val="Microsoft YaHei"/>
    <w:charset w:val="00"/>
    <w:family w:val="swiss"/>
    <w:pitch w:val="variable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0D59CB"/>
    <w:rsid w:val="000D59CB"/>
    <w:rsid w:val="0029298C"/>
    <w:rsid w:val="00762C5E"/>
    <w:rsid w:val="00D83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59CB"/>
    <w:pPr>
      <w:widowControl w:val="0"/>
      <w:suppressAutoHyphens/>
    </w:pPr>
    <w:rPr>
      <w:rFonts w:ascii="Times New Roman" w:eastAsia="Arial Unicode MS" w:hAnsi="Times New Roman" w:cs="Mangal"/>
      <w:kern w:val="2"/>
      <w:sz w:val="24"/>
      <w:szCs w:val="24"/>
      <w:lang w:val="sr-Latn-CS"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naslov">
    <w:name w:val="Normal naslov"/>
    <w:basedOn w:val="Normal"/>
    <w:rsid w:val="000D59CB"/>
    <w:pPr>
      <w:spacing w:before="120" w:after="120"/>
    </w:pPr>
    <w:rPr>
      <w:rFonts w:ascii="Cir Swiss" w:hAnsi="Cir Swiss"/>
      <w:b/>
      <w:lang w:val="en-US"/>
    </w:rPr>
  </w:style>
  <w:style w:type="paragraph" w:customStyle="1" w:styleId="WW-Default12">
    <w:name w:val="WW-Default12"/>
    <w:rsid w:val="000D59CB"/>
    <w:pPr>
      <w:suppressAutoHyphens/>
      <w:autoSpaceDE w:val="0"/>
    </w:pPr>
    <w:rPr>
      <w:rFonts w:ascii="Wingdings" w:eastAsia="Arial" w:hAnsi="Wingdings" w:cs="Wingdings"/>
      <w:color w:val="000000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7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1</cp:revision>
  <dcterms:created xsi:type="dcterms:W3CDTF">2016-09-14T08:47:00Z</dcterms:created>
  <dcterms:modified xsi:type="dcterms:W3CDTF">2016-09-14T08:48:00Z</dcterms:modified>
</cp:coreProperties>
</file>